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29EE9DD1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izmjenama i dopunama Odluke o ustrojstvu i djelokrugu upravnih tijela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9AF8BC" w14:textId="77777777" w:rsidR="000D4EC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  <w:p w14:paraId="158D3B6C" w14:textId="0D750894" w:rsidR="009007D6" w:rsidRPr="00BA407D" w:rsidRDefault="009007D6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F8D7649" w14:textId="560E604A" w:rsidR="009007D6" w:rsidRPr="009007D6" w:rsidRDefault="007F3656" w:rsidP="009007D6">
            <w:pPr>
              <w:ind w:firstLine="567"/>
              <w:jc w:val="both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07D6" w:rsidRPr="009464BC">
              <w:rPr>
                <w:rFonts w:ascii="Times New Roman" w:hAnsi="Times New Roman"/>
                <w:sz w:val="24"/>
                <w:szCs w:val="24"/>
              </w:rPr>
              <w:t xml:space="preserve">Izrađenim </w:t>
            </w:r>
            <w:r w:rsidR="009007D6">
              <w:rPr>
                <w:rFonts w:ascii="Times New Roman" w:hAnsi="Times New Roman"/>
                <w:sz w:val="24"/>
                <w:szCs w:val="24"/>
              </w:rPr>
              <w:t>nacrtom</w:t>
            </w:r>
            <w:r w:rsidR="009007D6" w:rsidRPr="009464BC">
              <w:rPr>
                <w:rFonts w:ascii="Times New Roman" w:hAnsi="Times New Roman"/>
                <w:sz w:val="24"/>
                <w:szCs w:val="24"/>
              </w:rPr>
              <w:t xml:space="preserve"> akta</w:t>
            </w:r>
            <w:r w:rsidR="009007D6">
              <w:rPr>
                <w:rFonts w:ascii="Times New Roman" w:hAnsi="Times New Roman"/>
                <w:sz w:val="24"/>
                <w:szCs w:val="24"/>
              </w:rPr>
              <w:t>,</w:t>
            </w:r>
            <w:r w:rsidR="009007D6" w:rsidRPr="009464BC">
              <w:rPr>
                <w:rFonts w:ascii="Times New Roman" w:hAnsi="Times New Roman"/>
                <w:sz w:val="24"/>
                <w:szCs w:val="24"/>
              </w:rPr>
              <w:t xml:space="preserve"> Odluka o ustrojstvu i djelokrugu upravnih tijela Koprivničko-križevačke županije („Službeni glasnik Koprivničko-križevačke županije“, broj 18/19.,  13/20. 11/23.) se usklađuje s no</w:t>
            </w:r>
            <w:r w:rsidR="009007D6">
              <w:rPr>
                <w:rFonts w:ascii="Times New Roman" w:hAnsi="Times New Roman"/>
                <w:sz w:val="24"/>
                <w:szCs w:val="24"/>
              </w:rPr>
              <w:t>vodonesenim</w:t>
            </w:r>
            <w:r w:rsidR="009007D6" w:rsidRPr="009464BC">
              <w:rPr>
                <w:rFonts w:ascii="Times New Roman" w:hAnsi="Times New Roman"/>
                <w:sz w:val="24"/>
                <w:szCs w:val="24"/>
              </w:rPr>
              <w:t xml:space="preserve"> propisima kojima se utvrđuju određene nadležnosti za obavljanje povjerenih poslova državne uprave.  </w:t>
            </w:r>
          </w:p>
          <w:p w14:paraId="10FF879E" w14:textId="77777777" w:rsidR="009007D6" w:rsidRPr="009464BC" w:rsidRDefault="009007D6" w:rsidP="009007D6">
            <w:pPr>
              <w:ind w:firstLine="708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6027B9C" w14:textId="77777777" w:rsidR="009007D6" w:rsidRPr="009464BC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>emelj</w:t>
            </w:r>
            <w:r>
              <w:rPr>
                <w:rFonts w:ascii="Times New Roman" w:hAnsi="Times New Roman"/>
                <w:sz w:val="24"/>
                <w:szCs w:val="24"/>
              </w:rPr>
              <w:t>em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 Zakona o povlasticama u prometu („Narodne novine „ broj 133/23.) Agencija za komercijalnu djelatnost d.o.o.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postaje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>nadležn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 za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određene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 poslove koje su obavljali županijska upravna tijela kao povjerene poslove državne uprave. Slijedom opisan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og,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>člankom 1. se iz nadležnosti Upravnog odjela za gospodarstvo, komunalne djelatnosti i poljoprivredu brišu poslovi izdavanja parkirališne karte za osobe s invaliditetom-znaka pristupačnosti. Člankom 2. se iz djelokruga Upravnog odjela za zdravstveno-socijalne djelatnosti brišu poslovi izdavanja objava za povlašteni prijevoz željeznicom i brodom za osobe s invaliditetom i besplatni prijevoz njihovih pratitelja.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U skladu s opisanim renumerirane su ostale točke.</w:t>
            </w:r>
          </w:p>
          <w:p w14:paraId="184CE6E4" w14:textId="77777777" w:rsidR="009007D6" w:rsidRPr="009464BC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9427CC9" w14:textId="77777777" w:rsidR="009007D6" w:rsidRPr="009464BC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 xml:space="preserve">Člankom 3. stavkom 1.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se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radi usklađivanja s Zakonom o upravljanju nekretninama i pokretninama u vlasništvu Republike Hrvatske („Narodne novine“ broj 155/23.) utvrđuje nadležnost Upravnog odjela za poslove opće uprave i imovinska prava za provođenje postupaka i poduzimanje radnji vezanih za poslove upravljanja određenih vrsta nekretnina u vlasništvu Republike Hrvatske sukladno zakonu. </w:t>
            </w:r>
          </w:p>
          <w:p w14:paraId="66BA218E" w14:textId="77777777" w:rsidR="009007D6" w:rsidRPr="009464BC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>Stavcima 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., 4. i 5.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istoga članka uređuje se brisanje Matičnog ureda Sveti Ivan Žabno jer je predmetni Matični ured stupanjem na snagu Uredbe o područjima matičnih ureda („Narodne novine“ broj 97/23.) prestao s radom, a njegove poslove je preuzeo Matični ured u Križevcima.  </w:t>
            </w:r>
          </w:p>
          <w:p w14:paraId="0DA62C11" w14:textId="77777777" w:rsidR="009007D6" w:rsidRPr="009464BC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AF535BC" w14:textId="77777777" w:rsidR="009007D6" w:rsidRPr="00A20388" w:rsidRDefault="009007D6" w:rsidP="009007D6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>Člankom 4. definirano je stupanje na snagu Odluke.</w:t>
            </w:r>
          </w:p>
          <w:p w14:paraId="671D283D" w14:textId="6C1B318E" w:rsidR="00536519" w:rsidRPr="00536519" w:rsidRDefault="00536519" w:rsidP="00057EB8">
            <w:pPr>
              <w:ind w:firstLine="4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470D3E0E" w:rsidR="00BA407D" w:rsidRDefault="00057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veljača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7298EDBA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BBC0C7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veljače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ožujka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32D9AC9" w:rsidR="00F91726" w:rsidRDefault="009007D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ožujka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CDD21E6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9007D6">
        <w:rPr>
          <w:rFonts w:ascii="Times New Roman" w:hAnsi="Times New Roman" w:cs="Times New Roman"/>
          <w:sz w:val="24"/>
          <w:szCs w:val="24"/>
        </w:rPr>
        <w:t>2</w:t>
      </w:r>
    </w:p>
    <w:p w14:paraId="5C2D49CB" w14:textId="27370CD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AD560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4D404930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007D6">
        <w:rPr>
          <w:rFonts w:ascii="Times New Roman" w:hAnsi="Times New Roman" w:cs="Times New Roman"/>
          <w:sz w:val="24"/>
          <w:szCs w:val="24"/>
        </w:rPr>
        <w:t>8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9007D6">
        <w:rPr>
          <w:rFonts w:ascii="Times New Roman" w:hAnsi="Times New Roman" w:cs="Times New Roman"/>
          <w:sz w:val="24"/>
          <w:szCs w:val="24"/>
        </w:rPr>
        <w:t>ožujka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6339FA" w14:textId="77777777" w:rsidR="00BB31D2" w:rsidRDefault="00BB31D2" w:rsidP="00A71CBC">
      <w:pPr>
        <w:spacing w:after="0" w:line="240" w:lineRule="auto"/>
      </w:pPr>
      <w:r>
        <w:separator/>
      </w:r>
    </w:p>
  </w:endnote>
  <w:endnote w:type="continuationSeparator" w:id="0">
    <w:p w14:paraId="10C4B709" w14:textId="77777777" w:rsidR="00BB31D2" w:rsidRDefault="00BB31D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F65BD1" w14:textId="77777777" w:rsidR="00BB31D2" w:rsidRDefault="00BB31D2" w:rsidP="00A71CBC">
      <w:pPr>
        <w:spacing w:after="0" w:line="240" w:lineRule="auto"/>
      </w:pPr>
      <w:r>
        <w:separator/>
      </w:r>
    </w:p>
  </w:footnote>
  <w:footnote w:type="continuationSeparator" w:id="0">
    <w:p w14:paraId="62B41943" w14:textId="77777777" w:rsidR="00BB31D2" w:rsidRDefault="00BB31D2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1093</TotalTime>
  <Pages>2</Pages>
  <Words>507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114</cp:revision>
  <cp:lastPrinted>2023-02-21T10:59:00Z</cp:lastPrinted>
  <dcterms:created xsi:type="dcterms:W3CDTF">2015-04-08T10:22:00Z</dcterms:created>
  <dcterms:modified xsi:type="dcterms:W3CDTF">2024-03-07T09:49:00Z</dcterms:modified>
</cp:coreProperties>
</file>